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8BF3" w14:textId="389F23D1" w:rsidR="009E1F20" w:rsidRDefault="00C97686" w:rsidP="009E1F20">
      <w:pPr>
        <w:rPr>
          <w:rFonts w:ascii="Lucida Sans" w:hAnsi="Lucida Sans"/>
          <w:b/>
          <w:bCs/>
          <w:sz w:val="44"/>
          <w:szCs w:val="44"/>
        </w:rPr>
      </w:pPr>
      <w:r>
        <w:rPr>
          <w:rFonts w:ascii="Lucida Sans" w:hAnsi="Lucida Sans"/>
          <w:b/>
          <w:sz w:val="44"/>
        </w:rPr>
        <w:t xml:space="preserve">Collision risk in narrow aisles: HUBTEX introduces </w:t>
      </w:r>
      <w:r w:rsidR="0036180D">
        <w:rPr>
          <w:rFonts w:ascii="Lucida Sans" w:hAnsi="Lucida Sans"/>
          <w:b/>
          <w:sz w:val="44"/>
        </w:rPr>
        <w:t>Clear Aisle Assist</w:t>
      </w:r>
    </w:p>
    <w:p w14:paraId="06BFB0A1" w14:textId="4751D4B7" w:rsidR="00C97686" w:rsidRDefault="000050BD" w:rsidP="000050BD">
      <w:pPr>
        <w:tabs>
          <w:tab w:val="left" w:pos="0"/>
          <w:tab w:val="left" w:pos="1276"/>
          <w:tab w:val="left" w:pos="6237"/>
          <w:tab w:val="left" w:pos="7655"/>
        </w:tabs>
        <w:spacing w:after="0" w:line="360" w:lineRule="auto"/>
        <w:rPr>
          <w:rFonts w:ascii="Arial" w:eastAsia="Calibri" w:hAnsi="Arial" w:cs="Arial"/>
          <w:b/>
          <w:bCs/>
          <w:kern w:val="0"/>
          <w:szCs w:val="20"/>
          <w14:ligatures w14:val="none"/>
        </w:rPr>
      </w:pPr>
      <w:r>
        <w:rPr>
          <w:rFonts w:ascii="Arial" w:hAnsi="Arial"/>
          <w:b/>
          <w:kern w:val="0"/>
          <w14:ligatures w14:val="none"/>
        </w:rPr>
        <w:t xml:space="preserve">In narrow-aisle warehouses, multidirectional forklifts often operate with minimal safety distances. Collisions with protruding loads pose a constant safety risk. To effectively minimise this risk, HUBTEX has developed a patented </w:t>
      </w:r>
      <w:r w:rsidR="008417BD">
        <w:rPr>
          <w:rFonts w:ascii="Arial" w:hAnsi="Arial"/>
          <w:b/>
          <w:kern w:val="0"/>
          <w14:ligatures w14:val="none"/>
        </w:rPr>
        <w:t xml:space="preserve">Clear </w:t>
      </w:r>
      <w:r>
        <w:rPr>
          <w:rFonts w:ascii="Arial" w:hAnsi="Arial"/>
          <w:b/>
          <w:kern w:val="0"/>
          <w14:ligatures w14:val="none"/>
        </w:rPr>
        <w:t>Aisle Assist: A system of laser sensors that identifies protruding loads early, alerts the driver, and automatically reduces speed.</w:t>
      </w:r>
    </w:p>
    <w:p w14:paraId="263BDF02" w14:textId="77777777" w:rsidR="000050BD" w:rsidRPr="009E1F20" w:rsidRDefault="000050BD" w:rsidP="000050BD">
      <w:pPr>
        <w:tabs>
          <w:tab w:val="left" w:pos="0"/>
          <w:tab w:val="left" w:pos="1276"/>
          <w:tab w:val="left" w:pos="6237"/>
          <w:tab w:val="left" w:pos="7655"/>
        </w:tabs>
        <w:spacing w:after="0" w:line="360" w:lineRule="auto"/>
        <w:rPr>
          <w:rFonts w:ascii="Arial" w:eastAsia="Calibri" w:hAnsi="Arial" w:cs="Arial"/>
          <w:b/>
          <w:bCs/>
          <w:kern w:val="0"/>
          <w:szCs w:val="20"/>
          <w14:ligatures w14:val="none"/>
        </w:rPr>
      </w:pPr>
    </w:p>
    <w:p w14:paraId="34CA9408" w14:textId="053353CE" w:rsidR="009E1F20" w:rsidRPr="009E1F20" w:rsidRDefault="009E1F20" w:rsidP="009E1F20">
      <w:pPr>
        <w:tabs>
          <w:tab w:val="left" w:pos="0"/>
          <w:tab w:val="left" w:pos="1276"/>
          <w:tab w:val="left" w:pos="6237"/>
          <w:tab w:val="left" w:pos="7655"/>
        </w:tabs>
        <w:spacing w:after="0" w:line="360" w:lineRule="auto"/>
        <w:rPr>
          <w:rFonts w:ascii="Arial" w:eastAsia="Calibri" w:hAnsi="Arial" w:cs="Arial"/>
          <w:b/>
          <w:bCs/>
          <w:kern w:val="0"/>
          <w:szCs w:val="20"/>
          <w14:ligatures w14:val="none"/>
        </w:rPr>
      </w:pPr>
      <w:r>
        <w:rPr>
          <w:rFonts w:ascii="Arial" w:hAnsi="Arial"/>
          <w:b/>
          <w:kern w:val="0"/>
          <w14:ligatures w14:val="none"/>
        </w:rPr>
        <w:t>Challenges in narrow aisles: minimal clearance, limited visibility</w:t>
      </w:r>
    </w:p>
    <w:p w14:paraId="06895758" w14:textId="6BC5A744" w:rsidR="001E207F" w:rsidRDefault="002174E4" w:rsidP="009E1F20">
      <w:pPr>
        <w:tabs>
          <w:tab w:val="left" w:pos="0"/>
          <w:tab w:val="left" w:pos="1276"/>
          <w:tab w:val="left" w:pos="6237"/>
          <w:tab w:val="left" w:pos="7655"/>
        </w:tabs>
        <w:spacing w:after="0" w:line="360" w:lineRule="auto"/>
        <w:rPr>
          <w:rFonts w:ascii="Arial" w:eastAsia="Calibri" w:hAnsi="Arial" w:cs="Arial"/>
          <w:kern w:val="0"/>
          <w:szCs w:val="20"/>
          <w14:ligatures w14:val="none"/>
        </w:rPr>
      </w:pPr>
      <w:r>
        <w:rPr>
          <w:rFonts w:ascii="Arial" w:hAnsi="Arial"/>
          <w:kern w:val="0"/>
          <w14:ligatures w14:val="none"/>
        </w:rPr>
        <w:t xml:space="preserve">HUBTEX multidirectional </w:t>
      </w:r>
      <w:proofErr w:type="spellStart"/>
      <w:r>
        <w:rPr>
          <w:rFonts w:ascii="Arial" w:hAnsi="Arial"/>
          <w:kern w:val="0"/>
          <w14:ligatures w14:val="none"/>
        </w:rPr>
        <w:t>sideloaders</w:t>
      </w:r>
      <w:proofErr w:type="spellEnd"/>
      <w:r>
        <w:rPr>
          <w:rFonts w:ascii="Arial" w:hAnsi="Arial"/>
          <w:kern w:val="0"/>
          <w14:ligatures w14:val="none"/>
        </w:rPr>
        <w:t xml:space="preserve"> are frequently utilised in narrow-aisle warehouses. To maximise storage capacity, these vehicles operate within guidance systems with very limited safety clearance, often with less than 100 millimetres on each side. This increases space efficiency but restricts the driver’s visibility. It becomes particularly critical when long items are stored at an angle or when neighbouring loads are inadvertently moved during retrieval. Parts may protrude into the aisle and aren't always visible in time from the cabin, especially on the engine side. This can lead to contact issues and costly damage to the chassis, battery, cabin or rack system. In the timber, metal and general industrial trade, with hundreds of moves per day, this scenario is commonplace.</w:t>
      </w:r>
    </w:p>
    <w:p w14:paraId="57D0533E" w14:textId="77777777" w:rsidR="002174E4" w:rsidRPr="009E1F20" w:rsidRDefault="002174E4" w:rsidP="009E1F20">
      <w:pPr>
        <w:tabs>
          <w:tab w:val="left" w:pos="0"/>
          <w:tab w:val="left" w:pos="1276"/>
          <w:tab w:val="left" w:pos="6237"/>
          <w:tab w:val="left" w:pos="7655"/>
        </w:tabs>
        <w:spacing w:after="0" w:line="360" w:lineRule="auto"/>
        <w:rPr>
          <w:rFonts w:ascii="Arial" w:eastAsia="Calibri" w:hAnsi="Arial" w:cs="Arial"/>
          <w:b/>
          <w:bCs/>
          <w:kern w:val="0"/>
          <w:szCs w:val="20"/>
          <w14:ligatures w14:val="none"/>
        </w:rPr>
      </w:pPr>
    </w:p>
    <w:p w14:paraId="437CC01B" w14:textId="3D4F8918" w:rsidR="002174E4" w:rsidRDefault="002174E4" w:rsidP="009E1F20">
      <w:pPr>
        <w:tabs>
          <w:tab w:val="left" w:pos="0"/>
          <w:tab w:val="left" w:pos="1276"/>
          <w:tab w:val="left" w:pos="6237"/>
          <w:tab w:val="left" w:pos="7655"/>
        </w:tabs>
        <w:spacing w:after="0" w:line="360" w:lineRule="auto"/>
        <w:rPr>
          <w:rFonts w:ascii="Arial" w:eastAsia="Calibri" w:hAnsi="Arial" w:cs="Arial"/>
          <w:b/>
          <w:bCs/>
          <w:kern w:val="0"/>
          <w:szCs w:val="20"/>
          <w14:ligatures w14:val="none"/>
        </w:rPr>
      </w:pPr>
      <w:r>
        <w:rPr>
          <w:rFonts w:ascii="Arial" w:hAnsi="Arial"/>
          <w:b/>
          <w:kern w:val="0"/>
          <w14:ligatures w14:val="none"/>
        </w:rPr>
        <w:t>Patented solution: monitoring with laser-based sensors</w:t>
      </w:r>
    </w:p>
    <w:p w14:paraId="4D3593E8" w14:textId="06C0E7B9" w:rsidR="009E1F20" w:rsidRDefault="002174E4" w:rsidP="002174E4">
      <w:pPr>
        <w:tabs>
          <w:tab w:val="left" w:pos="0"/>
          <w:tab w:val="left" w:pos="1276"/>
          <w:tab w:val="left" w:pos="6237"/>
          <w:tab w:val="left" w:pos="7655"/>
        </w:tabs>
        <w:spacing w:after="0" w:line="360" w:lineRule="auto"/>
        <w:rPr>
          <w:rFonts w:ascii="Arial" w:eastAsia="Calibri" w:hAnsi="Arial" w:cs="Arial"/>
          <w:kern w:val="0"/>
          <w:szCs w:val="20"/>
          <w14:ligatures w14:val="none"/>
        </w:rPr>
      </w:pPr>
      <w:r>
        <w:rPr>
          <w:rFonts w:ascii="Arial" w:hAnsi="Arial"/>
          <w:kern w:val="0"/>
          <w14:ligatures w14:val="none"/>
        </w:rPr>
        <w:t>To reduce these risks, HUBTEX has developed</w:t>
      </w:r>
      <w:r w:rsidR="00F301F9">
        <w:rPr>
          <w:rFonts w:ascii="Arial" w:hAnsi="Arial"/>
          <w:kern w:val="0"/>
          <w14:ligatures w14:val="none"/>
        </w:rPr>
        <w:t xml:space="preserve"> Clear</w:t>
      </w:r>
      <w:r>
        <w:rPr>
          <w:rFonts w:ascii="Arial" w:hAnsi="Arial"/>
          <w:kern w:val="0"/>
          <w14:ligatures w14:val="none"/>
        </w:rPr>
        <w:t xml:space="preserve"> Aisle Assist that oversees the vertical danger zones along the rack systems and reacts automatically if needed. The system utilises Lidar sensors to assess vertical planes in the vehicle's environment. Sensors are mounted at suitable positions based on vehicle configuration and scan both forwards and in reverse. This ensures early detection of protruding loads, whether the forklift enters the aisle forwards or backwards. The monitored area dynamically adjusts to key parameters, with speed, lift height and configuration determining the size of the protective zones. This allows for precise, needs-based detection of potential collision zones without burdening the driver with additional tasks.</w:t>
      </w:r>
    </w:p>
    <w:p w14:paraId="72FE8F8C" w14:textId="5CE93073" w:rsidR="002174E4" w:rsidRDefault="002174E4" w:rsidP="002174E4">
      <w:pPr>
        <w:tabs>
          <w:tab w:val="left" w:pos="0"/>
          <w:tab w:val="left" w:pos="1276"/>
          <w:tab w:val="left" w:pos="6237"/>
          <w:tab w:val="left" w:pos="7655"/>
        </w:tabs>
        <w:spacing w:after="0" w:line="360" w:lineRule="auto"/>
        <w:rPr>
          <w:rFonts w:ascii="Arial" w:eastAsia="Calibri" w:hAnsi="Arial" w:cs="Arial"/>
          <w:kern w:val="0"/>
          <w:szCs w:val="20"/>
          <w14:ligatures w14:val="none"/>
        </w:rPr>
      </w:pPr>
      <w:r>
        <w:rPr>
          <w:rFonts w:ascii="Arial" w:hAnsi="Arial"/>
          <w:i/>
          <w:kern w:val="0"/>
          <w14:ligatures w14:val="none"/>
        </w:rPr>
        <w:t>Classification:</w:t>
      </w:r>
      <w:r>
        <w:rPr>
          <w:rFonts w:ascii="Arial" w:hAnsi="Arial"/>
          <w:kern w:val="0"/>
          <w14:ligatures w14:val="none"/>
        </w:rPr>
        <w:t xml:space="preserve"> The </w:t>
      </w:r>
      <w:r w:rsidR="00233985">
        <w:rPr>
          <w:rFonts w:ascii="Arial" w:hAnsi="Arial"/>
          <w:kern w:val="0"/>
          <w14:ligatures w14:val="none"/>
        </w:rPr>
        <w:t xml:space="preserve">Clear </w:t>
      </w:r>
      <w:r>
        <w:rPr>
          <w:rFonts w:ascii="Arial" w:hAnsi="Arial"/>
          <w:kern w:val="0"/>
          <w14:ligatures w14:val="none"/>
        </w:rPr>
        <w:t>Aisle Assist does not replace personal protection technology but supplements it with collision protection for loads protruding from the rack system.</w:t>
      </w:r>
    </w:p>
    <w:p w14:paraId="0F60B4A3" w14:textId="77777777" w:rsidR="002174E4" w:rsidRDefault="002174E4" w:rsidP="002174E4">
      <w:pPr>
        <w:tabs>
          <w:tab w:val="left" w:pos="0"/>
          <w:tab w:val="left" w:pos="1276"/>
          <w:tab w:val="left" w:pos="6237"/>
          <w:tab w:val="left" w:pos="7655"/>
        </w:tabs>
        <w:spacing w:after="0" w:line="360" w:lineRule="auto"/>
        <w:rPr>
          <w:rFonts w:ascii="Arial" w:eastAsia="Calibri" w:hAnsi="Arial" w:cs="Arial"/>
          <w:kern w:val="0"/>
          <w:szCs w:val="20"/>
          <w14:ligatures w14:val="none"/>
        </w:rPr>
      </w:pPr>
    </w:p>
    <w:p w14:paraId="3EA566EE" w14:textId="516F6EC8" w:rsidR="002174E4" w:rsidRPr="002174E4" w:rsidRDefault="002174E4" w:rsidP="002174E4">
      <w:pPr>
        <w:tabs>
          <w:tab w:val="left" w:pos="0"/>
          <w:tab w:val="left" w:pos="1276"/>
          <w:tab w:val="left" w:pos="6237"/>
          <w:tab w:val="left" w:pos="7655"/>
        </w:tabs>
        <w:spacing w:after="0" w:line="360" w:lineRule="auto"/>
        <w:rPr>
          <w:rFonts w:ascii="Arial" w:eastAsia="Calibri" w:hAnsi="Arial" w:cs="Arial"/>
          <w:b/>
          <w:bCs/>
          <w:kern w:val="0"/>
          <w:szCs w:val="20"/>
          <w14:ligatures w14:val="none"/>
        </w:rPr>
      </w:pPr>
      <w:r>
        <w:rPr>
          <w:rFonts w:ascii="Arial" w:hAnsi="Arial"/>
          <w:b/>
          <w:kern w:val="0"/>
          <w14:ligatures w14:val="none"/>
        </w:rPr>
        <w:t>Now available for the PHOENIX series</w:t>
      </w:r>
    </w:p>
    <w:p w14:paraId="539C1046" w14:textId="5B19F080" w:rsidR="00845D9D" w:rsidRDefault="002174E4" w:rsidP="002174E4">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r>
        <w:rPr>
          <w:rFonts w:ascii="Arial" w:hAnsi="Arial"/>
          <w:kern w:val="0"/>
          <w14:ligatures w14:val="none"/>
        </w:rPr>
        <w:lastRenderedPageBreak/>
        <w:t xml:space="preserve">If the system detects an obstacle, it issues a warning first. If necessary, the system automatically reduces speed to avoid contact or minimise its consequences. The goal is an assistance system that effectively enhances the driver's focus and maintains material flow in tight layouts. "Our aim was to develop an assistance system that actively supports the driver without adding extra burden", states Michael Röbig, Head of Product Management at HUBTEX. "The </w:t>
      </w:r>
      <w:r w:rsidR="00F301F9">
        <w:rPr>
          <w:rFonts w:ascii="Arial" w:hAnsi="Arial"/>
          <w:kern w:val="0"/>
          <w14:ligatures w14:val="none"/>
        </w:rPr>
        <w:t xml:space="preserve">Clear </w:t>
      </w:r>
      <w:r>
        <w:rPr>
          <w:rFonts w:ascii="Arial" w:hAnsi="Arial"/>
          <w:kern w:val="0"/>
          <w14:ligatures w14:val="none"/>
        </w:rPr>
        <w:t>Aisle Assis</w:t>
      </w:r>
      <w:r w:rsidR="00F301F9">
        <w:rPr>
          <w:rFonts w:ascii="Arial" w:hAnsi="Arial"/>
          <w:kern w:val="0"/>
          <w14:ligatures w14:val="none"/>
        </w:rPr>
        <w:t>t</w:t>
      </w:r>
      <w:r>
        <w:rPr>
          <w:rFonts w:ascii="Arial" w:hAnsi="Arial"/>
          <w:kern w:val="0"/>
          <w14:ligatures w14:val="none"/>
        </w:rPr>
        <w:t xml:space="preserve"> recognises dangerous situations early and can, if needed, not only warn but also automatically reduce the vehicle's speed". The system is now available for the PHOENIX series and complements existing personnel protection scanners by providing protection against goods protruding into the aisle.</w:t>
      </w:r>
    </w:p>
    <w:p w14:paraId="48BF893C" w14:textId="77777777" w:rsidR="00F47FAF" w:rsidRDefault="00F47FAF" w:rsidP="002174E4">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6D242F48" w14:textId="55028540" w:rsidR="00F47FAF" w:rsidRPr="00F47FAF" w:rsidRDefault="00F47FAF" w:rsidP="002174E4">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r>
        <w:rPr>
          <w:rFonts w:ascii="Arial" w:hAnsi="Arial"/>
          <w:kern w:val="0"/>
          <w14:ligatures w14:val="none"/>
        </w:rPr>
        <w:t xml:space="preserve">HUBTEX will provide details about the </w:t>
      </w:r>
      <w:r w:rsidR="00F301F9">
        <w:rPr>
          <w:rFonts w:ascii="Arial" w:hAnsi="Arial"/>
          <w:kern w:val="0"/>
          <w14:ligatures w14:val="none"/>
        </w:rPr>
        <w:t xml:space="preserve">Clear </w:t>
      </w:r>
      <w:r>
        <w:rPr>
          <w:rFonts w:ascii="Arial" w:hAnsi="Arial"/>
          <w:kern w:val="0"/>
          <w14:ligatures w14:val="none"/>
        </w:rPr>
        <w:t xml:space="preserve">Aisle Assist at the upcoming </w:t>
      </w:r>
      <w:proofErr w:type="spellStart"/>
      <w:r>
        <w:rPr>
          <w:rFonts w:ascii="Arial" w:hAnsi="Arial"/>
          <w:kern w:val="0"/>
          <w14:ligatures w14:val="none"/>
        </w:rPr>
        <w:t>LogiMAT</w:t>
      </w:r>
      <w:proofErr w:type="spellEnd"/>
      <w:r>
        <w:rPr>
          <w:rFonts w:ascii="Arial" w:hAnsi="Arial"/>
          <w:kern w:val="0"/>
          <w14:ligatures w14:val="none"/>
        </w:rPr>
        <w:t xml:space="preserve"> trade show in Hall 10, Stand 10C31.</w:t>
      </w:r>
    </w:p>
    <w:p w14:paraId="7742F7E9" w14:textId="7F2631A9" w:rsidR="00E824B1" w:rsidRDefault="00E824B1" w:rsidP="00E824B1">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3E7C3622" w14:textId="77777777" w:rsidR="00A450D0" w:rsidRPr="00A501B8" w:rsidRDefault="00A450D0"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149B5CA8" w14:textId="77777777" w:rsidR="00A501B8" w:rsidRPr="00A501B8" w:rsidRDefault="00A501B8"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273E5606" w14:textId="181ABD42" w:rsidR="00A501B8" w:rsidRPr="00A501B8" w:rsidRDefault="00A501B8" w:rsidP="00A501B8">
      <w:pPr>
        <w:tabs>
          <w:tab w:val="left" w:pos="0"/>
          <w:tab w:val="left" w:pos="1276"/>
          <w:tab w:val="left" w:pos="6237"/>
          <w:tab w:val="left" w:pos="7655"/>
        </w:tabs>
        <w:spacing w:after="0" w:line="360" w:lineRule="auto"/>
        <w:jc w:val="both"/>
        <w:rPr>
          <w:rFonts w:ascii="Arial" w:eastAsia="Times New Roman" w:hAnsi="Arial" w:cs="Arial"/>
          <w:b/>
          <w:kern w:val="0"/>
          <w:szCs w:val="20"/>
          <w14:ligatures w14:val="none"/>
        </w:rPr>
      </w:pPr>
      <w:r>
        <w:rPr>
          <w:rFonts w:ascii="Arial" w:hAnsi="Arial"/>
          <w:b/>
          <w:kern w:val="0"/>
          <w14:ligatures w14:val="none"/>
        </w:rPr>
        <w:t>Last updated:</w:t>
      </w:r>
      <w:r w:rsidR="001F75DA">
        <w:rPr>
          <w:rFonts w:ascii="Arial" w:hAnsi="Arial"/>
          <w:b/>
          <w:kern w:val="0"/>
          <w14:ligatures w14:val="none"/>
        </w:rPr>
        <w:t xml:space="preserve">  </w:t>
      </w:r>
      <w:r>
        <w:rPr>
          <w:rFonts w:ascii="Arial" w:hAnsi="Arial"/>
          <w:b/>
          <w:color w:val="FF942B"/>
          <w:kern w:val="0"/>
          <w14:ligatures w14:val="none"/>
        </w:rPr>
        <w:t>5 January 2026</w:t>
      </w:r>
    </w:p>
    <w:p w14:paraId="1D76F87A" w14:textId="2B813F77" w:rsidR="00A501B8" w:rsidRPr="003556D7" w:rsidRDefault="00A501B8" w:rsidP="00A501B8">
      <w:pPr>
        <w:tabs>
          <w:tab w:val="left" w:pos="0"/>
          <w:tab w:val="left" w:pos="1276"/>
          <w:tab w:val="left" w:pos="6237"/>
          <w:tab w:val="left" w:pos="7655"/>
        </w:tabs>
        <w:spacing w:after="0" w:line="360" w:lineRule="auto"/>
        <w:jc w:val="both"/>
        <w:rPr>
          <w:rFonts w:ascii="Arial" w:eastAsia="Times New Roman" w:hAnsi="Arial" w:cs="Arial"/>
          <w:b/>
          <w:color w:val="FF942B"/>
          <w:kern w:val="0"/>
          <w:szCs w:val="20"/>
          <w14:ligatures w14:val="none"/>
        </w:rPr>
      </w:pPr>
      <w:r>
        <w:rPr>
          <w:rFonts w:ascii="Arial" w:hAnsi="Arial"/>
          <w:b/>
          <w:kern w:val="0"/>
          <w14:ligatures w14:val="none"/>
        </w:rPr>
        <w:t>Length:</w:t>
      </w:r>
      <w:r>
        <w:rPr>
          <w:rFonts w:ascii="Arial" w:hAnsi="Arial"/>
          <w:b/>
          <w:kern w:val="0"/>
          <w14:ligatures w14:val="none"/>
        </w:rPr>
        <w:tab/>
      </w:r>
      <w:r w:rsidR="001F75DA">
        <w:rPr>
          <w:rFonts w:ascii="Arial" w:hAnsi="Arial"/>
          <w:b/>
          <w:kern w:val="0"/>
          <w14:ligatures w14:val="none"/>
        </w:rPr>
        <w:t xml:space="preserve">     </w:t>
      </w:r>
      <w:r>
        <w:rPr>
          <w:rFonts w:ascii="Arial" w:hAnsi="Arial"/>
          <w:b/>
          <w:color w:val="FF942B"/>
          <w:kern w:val="0"/>
          <w14:ligatures w14:val="none"/>
        </w:rPr>
        <w:t>3,</w:t>
      </w:r>
      <w:r w:rsidR="00F301F9">
        <w:rPr>
          <w:rFonts w:ascii="Arial" w:hAnsi="Arial"/>
          <w:b/>
          <w:color w:val="FF942B"/>
          <w:kern w:val="0"/>
          <w14:ligatures w14:val="none"/>
        </w:rPr>
        <w:t>199</w:t>
      </w:r>
      <w:r>
        <w:rPr>
          <w:rFonts w:ascii="Arial" w:hAnsi="Arial"/>
          <w:b/>
          <w:color w:val="FF942B"/>
          <w:kern w:val="0"/>
          <w14:ligatures w14:val="none"/>
        </w:rPr>
        <w:t xml:space="preserve"> characters including spaces</w:t>
      </w:r>
    </w:p>
    <w:p w14:paraId="7827210E" w14:textId="4412615A" w:rsidR="00A501B8" w:rsidRDefault="00A501B8" w:rsidP="00A501B8">
      <w:pPr>
        <w:tabs>
          <w:tab w:val="left" w:pos="1276"/>
          <w:tab w:val="left" w:pos="7655"/>
        </w:tabs>
        <w:spacing w:after="0" w:line="360" w:lineRule="auto"/>
        <w:jc w:val="both"/>
        <w:rPr>
          <w:rFonts w:ascii="Arial" w:eastAsia="Times New Roman" w:hAnsi="Arial" w:cs="Arial"/>
          <w:b/>
          <w:kern w:val="0"/>
          <w14:ligatures w14:val="none"/>
        </w:rPr>
      </w:pPr>
      <w:r>
        <w:rPr>
          <w:rFonts w:ascii="Arial" w:hAnsi="Arial"/>
          <w:b/>
          <w:kern w:val="0"/>
          <w14:ligatures w14:val="none"/>
        </w:rPr>
        <w:t>Images:</w:t>
      </w:r>
      <w:r>
        <w:rPr>
          <w:rFonts w:ascii="Arial" w:hAnsi="Arial"/>
          <w:b/>
          <w:kern w:val="0"/>
          <w14:ligatures w14:val="none"/>
        </w:rPr>
        <w:tab/>
      </w:r>
      <w:r w:rsidR="001F75DA">
        <w:rPr>
          <w:rFonts w:ascii="Arial" w:hAnsi="Arial"/>
          <w:b/>
          <w:kern w:val="0"/>
          <w14:ligatures w14:val="none"/>
        </w:rPr>
        <w:t xml:space="preserve">     </w:t>
      </w:r>
      <w:r>
        <w:rPr>
          <w:rFonts w:ascii="Arial" w:hAnsi="Arial"/>
          <w:b/>
          <w:color w:val="FF942B"/>
          <w:kern w:val="0"/>
          <w14:ligatures w14:val="none"/>
        </w:rPr>
        <w:t>3 (</w:t>
      </w:r>
      <w:r>
        <w:rPr>
          <w:rFonts w:ascii="Arial" w:hAnsi="Arial"/>
          <w:b/>
          <w:color w:val="FF942B"/>
        </w:rPr>
        <w:t xml:space="preserve">© </w:t>
      </w:r>
      <w:proofErr w:type="spellStart"/>
      <w:r>
        <w:rPr>
          <w:rFonts w:ascii="Arial" w:hAnsi="Arial"/>
          <w:b/>
          <w:color w:val="FF942B"/>
        </w:rPr>
        <w:t>Hubtex</w:t>
      </w:r>
      <w:proofErr w:type="spellEnd"/>
      <w:r>
        <w:rPr>
          <w:rFonts w:ascii="Arial" w:hAnsi="Arial"/>
          <w:b/>
          <w:color w:val="FF942B"/>
        </w:rPr>
        <w:t>)</w:t>
      </w:r>
    </w:p>
    <w:p w14:paraId="740EF0F8" w14:textId="77777777" w:rsidR="00C9445B" w:rsidRPr="00A501B8" w:rsidRDefault="00C9445B" w:rsidP="00A501B8">
      <w:pPr>
        <w:tabs>
          <w:tab w:val="left" w:pos="1276"/>
          <w:tab w:val="left" w:pos="7655"/>
        </w:tabs>
        <w:spacing w:after="0" w:line="360" w:lineRule="auto"/>
        <w:jc w:val="both"/>
        <w:rPr>
          <w:rFonts w:ascii="Arial" w:eastAsia="Times New Roman" w:hAnsi="Arial" w:cs="Arial"/>
          <w:b/>
          <w:kern w:val="0"/>
          <w:lang w:eastAsia="de-DE"/>
          <w14:ligatures w14:val="none"/>
        </w:rPr>
      </w:pPr>
    </w:p>
    <w:p w14:paraId="102C13E5" w14:textId="77777777" w:rsidR="00A501B8" w:rsidRDefault="00A501B8" w:rsidP="00A501B8">
      <w:pPr>
        <w:pBdr>
          <w:bottom w:val="single" w:sz="6" w:space="1" w:color="auto"/>
        </w:pBdr>
        <w:jc w:val="both"/>
        <w:rPr>
          <w:rFonts w:ascii="Arial" w:eastAsia="Calibri" w:hAnsi="Arial" w:cs="Arial"/>
          <w:b/>
          <w:bCs/>
          <w:kern w:val="0"/>
          <w:u w:val="single"/>
          <w14:ligatures w14:val="none"/>
        </w:rPr>
      </w:pPr>
    </w:p>
    <w:p w14:paraId="41FA0C4A" w14:textId="091218C2" w:rsidR="000251A8" w:rsidRDefault="000251A8" w:rsidP="00730090">
      <w:pPr>
        <w:jc w:val="both"/>
        <w:rPr>
          <w:rFonts w:ascii="Lucida Sans" w:eastAsia="Calibri" w:hAnsi="Lucida Sans" w:cs="Arial"/>
          <w:b/>
          <w:bCs/>
          <w:kern w:val="0"/>
          <w:sz w:val="28"/>
          <w:szCs w:val="28"/>
          <w14:ligatures w14:val="none"/>
        </w:rPr>
      </w:pPr>
    </w:p>
    <w:p w14:paraId="539142F5" w14:textId="02FBEB58" w:rsidR="00894C0A" w:rsidRPr="00894C0A" w:rsidRDefault="00A501B8" w:rsidP="00D774CE">
      <w:pPr>
        <w:jc w:val="both"/>
        <w:rPr>
          <w:rFonts w:ascii="Arial" w:eastAsia="Times New Roman" w:hAnsi="Arial" w:cs="Arial"/>
          <w:b/>
          <w:bCs/>
          <w:kern w:val="0"/>
          <w:sz w:val="20"/>
          <w14:ligatures w14:val="none"/>
        </w:rPr>
      </w:pPr>
      <w:r>
        <w:rPr>
          <w:rFonts w:ascii="Lucida Sans" w:hAnsi="Lucida Sans"/>
          <w:b/>
          <w:kern w:val="0"/>
          <w:sz w:val="32"/>
          <w14:ligatures w14:val="none"/>
        </w:rPr>
        <w:t>Captions</w:t>
      </w:r>
    </w:p>
    <w:p w14:paraId="06CE5C14" w14:textId="4F090E1F" w:rsidR="00894C0A" w:rsidRPr="00A501B8" w:rsidRDefault="00894C0A" w:rsidP="00A501B8">
      <w:pPr>
        <w:tabs>
          <w:tab w:val="left" w:pos="1276"/>
          <w:tab w:val="left" w:pos="7655"/>
        </w:tabs>
        <w:spacing w:after="0" w:line="360" w:lineRule="auto"/>
        <w:jc w:val="both"/>
        <w:rPr>
          <w:rFonts w:ascii="Arial" w:eastAsia="Times New Roman" w:hAnsi="Arial" w:cs="Arial"/>
          <w:b/>
          <w:bCs/>
          <w:kern w:val="0"/>
          <w:lang w:eastAsia="de-DE"/>
          <w14:ligatures w14:val="none"/>
        </w:rPr>
      </w:pPr>
    </w:p>
    <w:p w14:paraId="1AF650D5" w14:textId="6A148E89" w:rsidR="00C9445B" w:rsidRPr="0056330A" w:rsidRDefault="00A501B8" w:rsidP="00A501B8">
      <w:pPr>
        <w:tabs>
          <w:tab w:val="left" w:pos="1276"/>
          <w:tab w:val="left" w:pos="7655"/>
        </w:tabs>
        <w:spacing w:after="0" w:line="360" w:lineRule="auto"/>
        <w:jc w:val="both"/>
        <w:rPr>
          <w:rFonts w:ascii="Arial" w:eastAsia="Times New Roman" w:hAnsi="Arial" w:cs="Arial"/>
          <w:b/>
          <w:bCs/>
          <w:color w:val="FF942B"/>
          <w:kern w:val="0"/>
          <w:sz w:val="24"/>
          <w:szCs w:val="24"/>
          <w14:ligatures w14:val="none"/>
        </w:rPr>
      </w:pPr>
      <w:bookmarkStart w:id="0" w:name="_Hlk174439511"/>
      <w:r>
        <w:rPr>
          <w:rFonts w:ascii="Arial" w:hAnsi="Arial"/>
          <w:b/>
          <w:color w:val="FF942B"/>
          <w:kern w:val="0"/>
          <w:sz w:val="24"/>
          <w14:ligatures w14:val="none"/>
        </w:rPr>
        <w:t>Image 1</w:t>
      </w:r>
    </w:p>
    <w:bookmarkEnd w:id="0"/>
    <w:p w14:paraId="35C2E51C" w14:textId="01E688B5" w:rsidR="0061501B" w:rsidRDefault="00C97686" w:rsidP="00C97686">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kern w:val="0"/>
          <w14:ligatures w14:val="none"/>
        </w:rPr>
        <w:t>Lines of sight in narrow aisles: The sensors monitor the rack system and detect protruding loads.</w:t>
      </w:r>
    </w:p>
    <w:p w14:paraId="67E49E63" w14:textId="79355B0A" w:rsidR="0061501B" w:rsidRDefault="0061501B" w:rsidP="00A501B8">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noProof/>
          <w:kern w:val="0"/>
          <w14:ligatures w14:val="none"/>
        </w:rPr>
        <w:lastRenderedPageBreak/>
        <w:drawing>
          <wp:inline distT="0" distB="0" distL="0" distR="0" wp14:anchorId="12FC3377" wp14:editId="0206F99C">
            <wp:extent cx="3797480" cy="2533650"/>
            <wp:effectExtent l="0" t="0" r="0" b="0"/>
            <wp:docPr id="13941137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5029" cy="2538687"/>
                    </a:xfrm>
                    <a:prstGeom prst="rect">
                      <a:avLst/>
                    </a:prstGeom>
                    <a:noFill/>
                    <a:ln>
                      <a:noFill/>
                    </a:ln>
                  </pic:spPr>
                </pic:pic>
              </a:graphicData>
            </a:graphic>
          </wp:inline>
        </w:drawing>
      </w:r>
    </w:p>
    <w:p w14:paraId="53EBA6CC" w14:textId="3C60EDF5" w:rsidR="00261269" w:rsidRPr="00A501B8" w:rsidRDefault="00261269" w:rsidP="00A501B8">
      <w:pPr>
        <w:tabs>
          <w:tab w:val="left" w:pos="1276"/>
          <w:tab w:val="left" w:pos="7655"/>
        </w:tabs>
        <w:spacing w:after="0" w:line="360" w:lineRule="auto"/>
        <w:jc w:val="both"/>
        <w:rPr>
          <w:rFonts w:ascii="Arial" w:eastAsia="Calibri" w:hAnsi="Arial" w:cs="Arial"/>
          <w:kern w:val="0"/>
          <w:szCs w:val="20"/>
          <w14:ligatures w14:val="none"/>
        </w:rPr>
      </w:pPr>
    </w:p>
    <w:p w14:paraId="572510B2" w14:textId="26532F33" w:rsidR="0056330A" w:rsidRPr="0056330A" w:rsidRDefault="0056330A" w:rsidP="0056330A">
      <w:pPr>
        <w:tabs>
          <w:tab w:val="left" w:pos="1276"/>
          <w:tab w:val="left" w:pos="7655"/>
        </w:tabs>
        <w:spacing w:after="0" w:line="360" w:lineRule="auto"/>
        <w:jc w:val="both"/>
        <w:rPr>
          <w:rFonts w:ascii="Arial" w:eastAsia="Times New Roman" w:hAnsi="Arial" w:cs="Arial"/>
          <w:b/>
          <w:bCs/>
          <w:color w:val="FF942B"/>
          <w:kern w:val="0"/>
          <w:sz w:val="24"/>
          <w:szCs w:val="24"/>
          <w14:ligatures w14:val="none"/>
        </w:rPr>
      </w:pPr>
      <w:r>
        <w:rPr>
          <w:rFonts w:ascii="Arial" w:hAnsi="Arial"/>
          <w:b/>
          <w:color w:val="FF942B"/>
          <w:kern w:val="0"/>
          <w:sz w:val="24"/>
          <w14:ligatures w14:val="none"/>
        </w:rPr>
        <w:t>Image 2</w:t>
      </w:r>
    </w:p>
    <w:p w14:paraId="44538CB9" w14:textId="75D7F1B2" w:rsidR="00A501B8" w:rsidRDefault="00D774CE" w:rsidP="00894C0A">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kern w:val="0"/>
          <w14:ligatures w14:val="none"/>
        </w:rPr>
        <w:t xml:space="preserve">Detailed view of the compact integrated sensor and protection unit on the vehicle chassis of a PHOENIX multidirectional </w:t>
      </w:r>
      <w:proofErr w:type="spellStart"/>
      <w:r>
        <w:rPr>
          <w:rFonts w:ascii="Arial" w:hAnsi="Arial"/>
          <w:kern w:val="0"/>
          <w14:ligatures w14:val="none"/>
        </w:rPr>
        <w:t>sideloader</w:t>
      </w:r>
      <w:proofErr w:type="spellEnd"/>
      <w:r>
        <w:rPr>
          <w:rFonts w:ascii="Arial" w:hAnsi="Arial"/>
          <w:kern w:val="0"/>
          <w14:ligatures w14:val="none"/>
        </w:rPr>
        <w:t>.</w:t>
      </w:r>
    </w:p>
    <w:p w14:paraId="1FAC71F4" w14:textId="20EE238A" w:rsidR="00DA0E04" w:rsidRPr="00894C0A" w:rsidRDefault="00DA0E04" w:rsidP="00894C0A">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noProof/>
          <w:kern w:val="0"/>
          <w14:ligatures w14:val="none"/>
        </w:rPr>
        <w:drawing>
          <wp:inline distT="0" distB="0" distL="0" distR="0" wp14:anchorId="7F70462B" wp14:editId="286ADE4B">
            <wp:extent cx="3854585" cy="2571750"/>
            <wp:effectExtent l="0" t="0" r="0" b="0"/>
            <wp:docPr id="9060442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5679" cy="2572480"/>
                    </a:xfrm>
                    <a:prstGeom prst="rect">
                      <a:avLst/>
                    </a:prstGeom>
                    <a:noFill/>
                    <a:ln>
                      <a:noFill/>
                    </a:ln>
                  </pic:spPr>
                </pic:pic>
              </a:graphicData>
            </a:graphic>
          </wp:inline>
        </w:drawing>
      </w:r>
    </w:p>
    <w:p w14:paraId="7860325F" w14:textId="746930D8" w:rsidR="00D774CE" w:rsidRPr="0056330A" w:rsidRDefault="00D774CE" w:rsidP="00D774CE">
      <w:pPr>
        <w:tabs>
          <w:tab w:val="left" w:pos="1276"/>
          <w:tab w:val="left" w:pos="7655"/>
        </w:tabs>
        <w:spacing w:after="0" w:line="360" w:lineRule="auto"/>
        <w:jc w:val="both"/>
        <w:rPr>
          <w:rFonts w:ascii="Arial" w:eastAsia="Times New Roman" w:hAnsi="Arial" w:cs="Arial"/>
          <w:b/>
          <w:bCs/>
          <w:color w:val="FF942B"/>
          <w:kern w:val="0"/>
          <w:sz w:val="24"/>
          <w:szCs w:val="24"/>
          <w14:ligatures w14:val="none"/>
        </w:rPr>
      </w:pPr>
      <w:r>
        <w:rPr>
          <w:rFonts w:ascii="Arial" w:hAnsi="Arial"/>
          <w:b/>
          <w:color w:val="FF942B"/>
          <w:kern w:val="0"/>
          <w:sz w:val="24"/>
          <w14:ligatures w14:val="none"/>
        </w:rPr>
        <w:t>Image 3</w:t>
      </w:r>
    </w:p>
    <w:p w14:paraId="0A8659EA" w14:textId="4EF80B0B" w:rsidR="00E824B1" w:rsidRDefault="00D774CE" w:rsidP="00A501B8">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kern w:val="0"/>
          <w14:ligatures w14:val="none"/>
        </w:rPr>
        <w:t>Operating principle: The sensor detects misaligned item 4, alerts to the danger, and slows down the vehicle.</w:t>
      </w:r>
    </w:p>
    <w:p w14:paraId="507B6DDE" w14:textId="52B46840" w:rsidR="00DA0E04" w:rsidRPr="00D774CE" w:rsidRDefault="00DA0E04" w:rsidP="00A501B8">
      <w:pPr>
        <w:tabs>
          <w:tab w:val="left" w:pos="1276"/>
          <w:tab w:val="left" w:pos="7655"/>
        </w:tabs>
        <w:spacing w:after="0" w:line="360" w:lineRule="auto"/>
        <w:jc w:val="both"/>
        <w:rPr>
          <w:rFonts w:ascii="Arial" w:eastAsia="Calibri" w:hAnsi="Arial" w:cs="Arial"/>
          <w:kern w:val="0"/>
          <w:szCs w:val="20"/>
          <w14:ligatures w14:val="none"/>
        </w:rPr>
      </w:pPr>
      <w:r>
        <w:rPr>
          <w:rFonts w:ascii="Arial" w:hAnsi="Arial"/>
          <w:noProof/>
          <w:kern w:val="0"/>
          <w14:ligatures w14:val="none"/>
        </w:rPr>
        <w:lastRenderedPageBreak/>
        <w:drawing>
          <wp:inline distT="0" distB="0" distL="0" distR="0" wp14:anchorId="2F297B30" wp14:editId="50BE1CFC">
            <wp:extent cx="3317312" cy="2209800"/>
            <wp:effectExtent l="0" t="0" r="0" b="0"/>
            <wp:docPr id="8323888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9664" cy="2211367"/>
                    </a:xfrm>
                    <a:prstGeom prst="rect">
                      <a:avLst/>
                    </a:prstGeom>
                    <a:noFill/>
                    <a:ln>
                      <a:noFill/>
                    </a:ln>
                  </pic:spPr>
                </pic:pic>
              </a:graphicData>
            </a:graphic>
          </wp:inline>
        </w:drawing>
      </w:r>
    </w:p>
    <w:p w14:paraId="48369E26" w14:textId="77777777" w:rsidR="00A501B8" w:rsidRPr="00A501B8" w:rsidRDefault="00A501B8"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6D62DD37" w14:textId="77777777" w:rsidR="00AE14D7" w:rsidRPr="00AE14D7" w:rsidRDefault="00AE14D7" w:rsidP="00AE14D7">
      <w:pPr>
        <w:pBdr>
          <w:bottom w:val="single" w:sz="6" w:space="1" w:color="auto"/>
        </w:pBdr>
        <w:tabs>
          <w:tab w:val="left" w:pos="1276"/>
          <w:tab w:val="left" w:pos="7655"/>
        </w:tabs>
        <w:spacing w:after="0" w:line="360" w:lineRule="auto"/>
        <w:jc w:val="both"/>
        <w:rPr>
          <w:rFonts w:ascii="Lucida Sans" w:eastAsia="Times New Roman" w:hAnsi="Lucida Sans" w:cs="Arial"/>
          <w:b/>
          <w:bCs/>
          <w:kern w:val="0"/>
          <w:sz w:val="32"/>
          <w:szCs w:val="36"/>
          <w14:ligatures w14:val="none"/>
        </w:rPr>
      </w:pPr>
      <w:r>
        <w:rPr>
          <w:rFonts w:ascii="Lucida Sans" w:hAnsi="Lucida Sans"/>
          <w:b/>
          <w:kern w:val="0"/>
          <w:sz w:val="32"/>
          <w14:ligatures w14:val="none"/>
        </w:rPr>
        <w:t xml:space="preserve">About HUBTEX Maschinenbau GmbH &amp; Co. KG </w:t>
      </w:r>
    </w:p>
    <w:p w14:paraId="62B98525" w14:textId="15C4E1E7" w:rsidR="00883C90" w:rsidRDefault="00883C90" w:rsidP="00883C90">
      <w:pPr>
        <w:pBdr>
          <w:bottom w:val="single" w:sz="6" w:space="1" w:color="auto"/>
        </w:pBdr>
        <w:tabs>
          <w:tab w:val="left" w:pos="1276"/>
          <w:tab w:val="left" w:pos="7655"/>
        </w:tabs>
        <w:spacing w:after="0" w:line="360" w:lineRule="auto"/>
        <w:jc w:val="both"/>
        <w:rPr>
          <w:rFonts w:ascii="Arial" w:eastAsia="Times New Roman" w:hAnsi="Arial" w:cs="Arial"/>
          <w:kern w:val="0"/>
          <w:szCs w:val="24"/>
          <w14:ligatures w14:val="none"/>
        </w:rPr>
      </w:pPr>
      <w:bookmarkStart w:id="1" w:name="_Hlk195093021"/>
      <w:r>
        <w:rPr>
          <w:rFonts w:ascii="Arial" w:hAnsi="Arial"/>
          <w:kern w:val="0"/>
          <w14:ligatures w14:val="none"/>
        </w:rPr>
        <w:t xml:space="preserve">The HUBTEX Group, along with its affiliated companies </w:t>
      </w:r>
      <w:proofErr w:type="spellStart"/>
      <w:r>
        <w:rPr>
          <w:rFonts w:ascii="Arial" w:hAnsi="Arial"/>
          <w:kern w:val="0"/>
          <w14:ligatures w14:val="none"/>
        </w:rPr>
        <w:t>Hubtex</w:t>
      </w:r>
      <w:proofErr w:type="spellEnd"/>
      <w:r>
        <w:rPr>
          <w:rFonts w:ascii="Arial" w:hAnsi="Arial"/>
          <w:kern w:val="0"/>
          <w14:ligatures w14:val="none"/>
        </w:rPr>
        <w:t xml:space="preserve"> Maschinenbau GmbH &amp; Co. KG, </w:t>
      </w:r>
      <w:proofErr w:type="spellStart"/>
      <w:r>
        <w:rPr>
          <w:rFonts w:ascii="Arial" w:hAnsi="Arial"/>
          <w:kern w:val="0"/>
          <w14:ligatures w14:val="none"/>
        </w:rPr>
        <w:t>Genkinger</w:t>
      </w:r>
      <w:proofErr w:type="spellEnd"/>
      <w:r>
        <w:rPr>
          <w:rFonts w:ascii="Arial" w:hAnsi="Arial"/>
          <w:kern w:val="0"/>
          <w14:ligatures w14:val="none"/>
        </w:rPr>
        <w:t xml:space="preserve"> GmbH, </w:t>
      </w:r>
      <w:proofErr w:type="spellStart"/>
      <w:r>
        <w:rPr>
          <w:rFonts w:ascii="Arial" w:hAnsi="Arial"/>
          <w:kern w:val="0"/>
          <w14:ligatures w14:val="none"/>
        </w:rPr>
        <w:t>stabau</w:t>
      </w:r>
      <w:proofErr w:type="spellEnd"/>
      <w:r>
        <w:rPr>
          <w:rFonts w:ascii="Arial" w:hAnsi="Arial"/>
          <w:kern w:val="0"/>
          <w14:ligatures w14:val="none"/>
        </w:rPr>
        <w:t xml:space="preserve"> GmbH and DIMOS Maschinenbau GmbH, employs more than 1300 people worldwide. </w:t>
      </w:r>
      <w:bookmarkEnd w:id="1"/>
      <w:r>
        <w:rPr>
          <w:rFonts w:ascii="Arial" w:hAnsi="Arial"/>
          <w:kern w:val="0"/>
          <w14:ligatures w14:val="none"/>
        </w:rPr>
        <w:t xml:space="preserve">HUBTEX Maschinenbau is the leading international manufacturer of multidirectional forklifts, </w:t>
      </w:r>
      <w:proofErr w:type="spellStart"/>
      <w:r>
        <w:rPr>
          <w:rFonts w:ascii="Arial" w:hAnsi="Arial"/>
          <w:kern w:val="0"/>
          <w14:ligatures w14:val="none"/>
        </w:rPr>
        <w:t>sideloaders</w:t>
      </w:r>
      <w:proofErr w:type="spellEnd"/>
      <w:r>
        <w:rPr>
          <w:rFonts w:ascii="Arial" w:hAnsi="Arial"/>
          <w:kern w:val="0"/>
          <w14:ligatures w14:val="none"/>
        </w:rPr>
        <w:t xml:space="preserve">, 6 purpose-built industrial trucks and special equipment for transporting long, heavy and bulky goods. The products are designed to enable production and trading companies to achieve an efficient flow of materials and to allow goods handling in the narrowest of aisles. HUBTEX has built up a reputation for comprehensive advice, global service and innovation. As a result, the 520-strong company headquartered in Fulda </w:t>
      </w:r>
      <w:proofErr w:type="gramStart"/>
      <w:r>
        <w:rPr>
          <w:rFonts w:ascii="Arial" w:hAnsi="Arial"/>
          <w:kern w:val="0"/>
          <w14:ligatures w14:val="none"/>
        </w:rPr>
        <w:t>is able to</w:t>
      </w:r>
      <w:proofErr w:type="gramEnd"/>
      <w:r>
        <w:rPr>
          <w:rFonts w:ascii="Arial" w:hAnsi="Arial"/>
          <w:kern w:val="0"/>
          <w14:ligatures w14:val="none"/>
        </w:rPr>
        <w:t xml:space="preserve"> provide the perfect solution for every customer requirement: from basic models to highly developed series trucks and specially developed solutions.</w:t>
      </w:r>
    </w:p>
    <w:p w14:paraId="10EDAF29" w14:textId="77777777" w:rsidR="00D84EF6" w:rsidRDefault="00D84EF6" w:rsidP="00C9445B">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p>
    <w:p w14:paraId="6DD93A89" w14:textId="77777777" w:rsidR="00D84EF6" w:rsidRDefault="00D84EF6"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0BCED75E" w14:textId="77777777" w:rsidR="00BE78E0" w:rsidRDefault="00BE78E0"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29E85356" w14:textId="14C65244" w:rsidR="00A501B8" w:rsidRPr="00F90447" w:rsidRDefault="00A501B8" w:rsidP="00C9445B">
      <w:pPr>
        <w:tabs>
          <w:tab w:val="left" w:pos="1276"/>
          <w:tab w:val="left" w:pos="7655"/>
        </w:tabs>
        <w:spacing w:after="0" w:line="360" w:lineRule="auto"/>
        <w:jc w:val="both"/>
        <w:rPr>
          <w:rFonts w:ascii="Arial" w:eastAsia="Times New Roman" w:hAnsi="Arial" w:cs="Arial"/>
          <w:kern w:val="0"/>
          <w:sz w:val="24"/>
          <w:szCs w:val="28"/>
          <w14:ligatures w14:val="none"/>
        </w:rPr>
      </w:pPr>
      <w:r>
        <w:rPr>
          <w:rFonts w:ascii="Lucida Sans" w:hAnsi="Lucida Sans"/>
          <w:b/>
          <w:kern w:val="0"/>
          <w:sz w:val="32"/>
          <w14:ligatures w14:val="none"/>
        </w:rPr>
        <w:t xml:space="preserve">Company </w:t>
      </w:r>
      <w:proofErr w:type="gramStart"/>
      <w:r>
        <w:rPr>
          <w:rFonts w:ascii="Lucida Sans" w:hAnsi="Lucida Sans"/>
          <w:b/>
          <w:kern w:val="0"/>
          <w:sz w:val="32"/>
          <w14:ligatures w14:val="none"/>
        </w:rPr>
        <w:t>contact</w:t>
      </w:r>
      <w:proofErr w:type="gramEnd"/>
      <w:r>
        <w:rPr>
          <w:rFonts w:ascii="Lucida Sans" w:hAnsi="Lucida Sans"/>
          <w:b/>
          <w:kern w:val="0"/>
          <w:sz w:val="32"/>
          <w14:ligatures w14:val="none"/>
        </w:rPr>
        <w:t xml:space="preserve"> information</w:t>
      </w:r>
    </w:p>
    <w:p w14:paraId="178A82A6" w14:textId="77777777" w:rsidR="00FC0ABC" w:rsidRPr="00233985"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val="de-DE"/>
          <w14:ligatures w14:val="none"/>
        </w:rPr>
      </w:pPr>
      <w:r>
        <w:rPr>
          <w:rFonts w:ascii="Arial" w:hAnsi="Arial"/>
          <w:kern w:val="0"/>
          <w14:ligatures w14:val="none"/>
        </w:rPr>
        <w:t xml:space="preserve">HUBTEX Maschinenbau GmbH &amp; Co. </w:t>
      </w:r>
      <w:r w:rsidRPr="00233985">
        <w:rPr>
          <w:rFonts w:ascii="Arial" w:hAnsi="Arial"/>
          <w:kern w:val="0"/>
          <w:lang w:val="de-DE"/>
          <w14:ligatures w14:val="none"/>
        </w:rPr>
        <w:t>KG</w:t>
      </w:r>
    </w:p>
    <w:p w14:paraId="37C2D74C" w14:textId="51DE450D" w:rsidR="00FC0ABC" w:rsidRPr="0036180D" w:rsidRDefault="00AE5EF1"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val="de-DE"/>
          <w14:ligatures w14:val="none"/>
        </w:rPr>
      </w:pPr>
      <w:r>
        <w:rPr>
          <w:rFonts w:ascii="Arial" w:hAnsi="Arial"/>
          <w:kern w:val="0"/>
          <w:lang w:val="de-DE"/>
          <w14:ligatures w14:val="none"/>
        </w:rPr>
        <w:t>Marlen Möller</w:t>
      </w:r>
      <w:r w:rsidR="00FC0ABC" w:rsidRPr="0036180D">
        <w:rPr>
          <w:rFonts w:ascii="Arial" w:hAnsi="Arial"/>
          <w:kern w:val="0"/>
          <w:lang w:val="de-DE"/>
          <w14:ligatures w14:val="none"/>
        </w:rPr>
        <w:t xml:space="preserve"> • Marketing</w:t>
      </w:r>
    </w:p>
    <w:p w14:paraId="48CA52E7" w14:textId="77777777" w:rsidR="00FC0ABC" w:rsidRPr="0036180D"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val="de-DE"/>
          <w14:ligatures w14:val="none"/>
        </w:rPr>
      </w:pPr>
      <w:r w:rsidRPr="0036180D">
        <w:rPr>
          <w:rFonts w:ascii="Arial" w:hAnsi="Arial"/>
          <w:kern w:val="0"/>
          <w:lang w:val="de-DE"/>
          <w14:ligatures w14:val="none"/>
        </w:rPr>
        <w:t>Technologiepark Fulda • Werner-von-Siemens-Straße 8 • 36041 Fulda • Germany</w:t>
      </w:r>
    </w:p>
    <w:p w14:paraId="14DB4F06" w14:textId="00EBA4B3" w:rsidR="00FC0ABC" w:rsidRPr="00A60AA5"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Tel.: +49 (0)661 838223</w:t>
      </w:r>
      <w:r w:rsidR="00AE5EF1">
        <w:rPr>
          <w:rFonts w:ascii="Arial" w:hAnsi="Arial"/>
          <w:kern w:val="0"/>
          <w14:ligatures w14:val="none"/>
        </w:rPr>
        <w:t>5</w:t>
      </w:r>
      <w:r>
        <w:rPr>
          <w:rFonts w:ascii="Arial" w:hAnsi="Arial"/>
          <w:kern w:val="0"/>
          <w14:ligatures w14:val="none"/>
        </w:rPr>
        <w:t xml:space="preserve"> • Fax: +49 661 8382120</w:t>
      </w:r>
    </w:p>
    <w:p w14:paraId="0B2DA875" w14:textId="21275377" w:rsidR="000C122D" w:rsidRPr="00DA0E04" w:rsidRDefault="00FC0ABC" w:rsidP="00DA0E0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E-mail:</w:t>
      </w:r>
      <w:r w:rsidR="00AE5EF1">
        <w:rPr>
          <w:rFonts w:ascii="Arial" w:hAnsi="Arial"/>
          <w:kern w:val="0"/>
          <w14:ligatures w14:val="none"/>
        </w:rPr>
        <w:t xml:space="preserve"> marlen.moeller</w:t>
      </w:r>
      <w:r>
        <w:rPr>
          <w:rFonts w:ascii="Arial" w:hAnsi="Arial"/>
          <w:kern w:val="0"/>
          <w14:ligatures w14:val="none"/>
        </w:rPr>
        <w:t xml:space="preserve">@hubtex.com • Website: </w:t>
      </w:r>
      <w:hyperlink r:id="rId12" w:history="1">
        <w:r w:rsidR="00B364A2" w:rsidRPr="00B364A2">
          <w:rPr>
            <w:rStyle w:val="Hyperlink"/>
            <w:rFonts w:ascii="Arial" w:hAnsi="Arial" w:cs="Arial"/>
            <w:b/>
            <w:bCs/>
          </w:rPr>
          <w:t>www.hubtex.</w:t>
        </w:r>
        <w:r w:rsidR="00B364A2" w:rsidRPr="00B364A2">
          <w:rPr>
            <w:rStyle w:val="Hyperlink"/>
            <w:rFonts w:ascii="Arial" w:hAnsi="Arial" w:cs="Arial"/>
            <w:b/>
            <w:bCs/>
          </w:rPr>
          <w:t>c</w:t>
        </w:r>
        <w:r w:rsidR="00B364A2" w:rsidRPr="00B364A2">
          <w:rPr>
            <w:rStyle w:val="Hyperlink"/>
            <w:rFonts w:ascii="Arial" w:hAnsi="Arial" w:cs="Arial"/>
            <w:b/>
            <w:bCs/>
          </w:rPr>
          <w:t>o.uk</w:t>
        </w:r>
      </w:hyperlink>
      <w:r w:rsidR="00B364A2">
        <w:t xml:space="preserve"> </w:t>
      </w:r>
    </w:p>
    <w:p w14:paraId="71A44CAB" w14:textId="77777777" w:rsidR="000C122D" w:rsidRPr="000C122D" w:rsidRDefault="000C122D" w:rsidP="000C122D">
      <w:pPr>
        <w:pStyle w:val="Formatvorlage1"/>
        <w:tabs>
          <w:tab w:val="left" w:pos="1276"/>
          <w:tab w:val="left" w:pos="6237"/>
          <w:tab w:val="left" w:pos="7655"/>
        </w:tabs>
        <w:spacing w:line="360" w:lineRule="auto"/>
        <w:ind w:right="-1"/>
        <w:jc w:val="both"/>
        <w:rPr>
          <w:rFonts w:eastAsiaTheme="minorHAnsi" w:cs="Arial"/>
          <w:kern w:val="2"/>
          <w:szCs w:val="22"/>
          <w14:ligatures w14:val="standardContextual"/>
        </w:rPr>
      </w:pPr>
      <w:r>
        <w:rPr>
          <w:kern w:val="2"/>
          <w14:ligatures w14:val="standardContextual"/>
        </w:rPr>
        <w:t xml:space="preserve">Digital text and image material for your article can be found at: </w:t>
      </w:r>
    </w:p>
    <w:p w14:paraId="75870343" w14:textId="6D3DBCB5" w:rsidR="003E5F03" w:rsidRPr="00B364A2" w:rsidRDefault="00B364A2" w:rsidP="00B364A2">
      <w:pPr>
        <w:pStyle w:val="Formatvorlage1"/>
        <w:tabs>
          <w:tab w:val="left" w:pos="1276"/>
          <w:tab w:val="left" w:pos="6237"/>
          <w:tab w:val="left" w:pos="7655"/>
        </w:tabs>
        <w:spacing w:line="360" w:lineRule="auto"/>
        <w:ind w:right="-1"/>
        <w:jc w:val="both"/>
        <w:rPr>
          <w:rFonts w:cs="Arial"/>
          <w:b/>
          <w:bCs/>
          <w:color w:val="FF942B"/>
        </w:rPr>
      </w:pPr>
      <w:hyperlink r:id="rId13" w:history="1">
        <w:r w:rsidRPr="00B364A2">
          <w:rPr>
            <w:rStyle w:val="Hyperlink"/>
            <w:b/>
            <w:bCs/>
          </w:rPr>
          <w:t>https://www.hubtex.com/en-gb/company/news-press</w:t>
        </w:r>
      </w:hyperlink>
      <w:r w:rsidRPr="00B364A2">
        <w:rPr>
          <w:b/>
          <w:bCs/>
        </w:rPr>
        <w:t xml:space="preserve"> </w:t>
      </w:r>
    </w:p>
    <w:sectPr w:rsidR="003E5F03" w:rsidRPr="00B364A2" w:rsidSect="00AD7B13">
      <w:headerReference w:type="default" r:id="rId14"/>
      <w:footerReference w:type="default" r:id="rId15"/>
      <w:pgSz w:w="11906" w:h="16838"/>
      <w:pgMar w:top="1191" w:right="1191" w:bottom="1191" w:left="119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2B90" w14:textId="77777777" w:rsidR="000E1A66" w:rsidRDefault="000E1A66" w:rsidP="007657EF">
      <w:pPr>
        <w:spacing w:after="0" w:line="240" w:lineRule="auto"/>
      </w:pPr>
      <w:r>
        <w:separator/>
      </w:r>
    </w:p>
  </w:endnote>
  <w:endnote w:type="continuationSeparator" w:id="0">
    <w:p w14:paraId="6504F5FA" w14:textId="77777777" w:rsidR="000E1A66" w:rsidRDefault="000E1A66"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5ECA" w14:textId="77777777" w:rsidR="006D3BE8" w:rsidRDefault="006D3BE8">
    <w:pPr>
      <w:pStyle w:val="Fuzeile"/>
    </w:pPr>
  </w:p>
  <w:p w14:paraId="4615D45C" w14:textId="77777777" w:rsidR="006D3BE8" w:rsidRDefault="006D3BE8">
    <w:pPr>
      <w:pStyle w:val="Fuzeile"/>
    </w:pPr>
  </w:p>
  <w:p w14:paraId="36C8FC18" w14:textId="77777777" w:rsidR="006D3BE8" w:rsidRDefault="006D3B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6334" w14:textId="77777777" w:rsidR="000E1A66" w:rsidRDefault="000E1A66" w:rsidP="007657EF">
      <w:pPr>
        <w:spacing w:after="0" w:line="240" w:lineRule="auto"/>
      </w:pPr>
      <w:r>
        <w:separator/>
      </w:r>
    </w:p>
  </w:footnote>
  <w:footnote w:type="continuationSeparator" w:id="0">
    <w:p w14:paraId="1C561F6C" w14:textId="77777777" w:rsidR="000E1A66" w:rsidRDefault="000E1A66"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C6DC" w14:textId="7E40C651" w:rsidR="006D3BE8" w:rsidRDefault="006D3BE8" w:rsidP="006D642A">
    <w:pPr>
      <w:pStyle w:val="Kopfzeile"/>
      <w:rPr>
        <w:b/>
        <w:bCs/>
        <w:color w:val="D9D9D9" w:themeColor="background1" w:themeShade="D9"/>
      </w:rPr>
    </w:pPr>
    <w:r>
      <w:rPr>
        <w:b/>
        <w:noProof/>
        <w:color w:val="D9D9D9" w:themeColor="background1" w:themeShade="D9"/>
      </w:rPr>
      <w:drawing>
        <wp:anchor distT="0" distB="0" distL="114300" distR="114300" simplePos="0" relativeHeight="251658240" behindDoc="0" locked="0" layoutInCell="1" allowOverlap="1" wp14:anchorId="4112AEA2" wp14:editId="64B1CD80">
          <wp:simplePos x="0" y="0"/>
          <wp:positionH relativeFrom="page">
            <wp:posOffset>0</wp:posOffset>
          </wp:positionH>
          <wp:positionV relativeFrom="paragraph">
            <wp:posOffset>2486</wp:posOffset>
          </wp:positionV>
          <wp:extent cx="7559040" cy="1039368"/>
          <wp:effectExtent l="0" t="0" r="3810" b="8890"/>
          <wp:wrapNone/>
          <wp:docPr id="2067097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97418"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39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96849" w14:textId="514925ED" w:rsidR="006D3BE8" w:rsidRDefault="006D3BE8" w:rsidP="006D642A">
    <w:pPr>
      <w:pStyle w:val="Kopfzeile"/>
      <w:rPr>
        <w:b/>
        <w:bCs/>
        <w:color w:val="D9D9D9" w:themeColor="background1" w:themeShade="D9"/>
      </w:rPr>
    </w:pPr>
  </w:p>
  <w:p w14:paraId="0FA07870" w14:textId="76103DEC" w:rsidR="006D3BE8" w:rsidRDefault="006D3BE8" w:rsidP="006D642A">
    <w:pPr>
      <w:pStyle w:val="Kopfzeile"/>
      <w:rPr>
        <w:b/>
        <w:bCs/>
        <w:color w:val="D9D9D9" w:themeColor="background1" w:themeShade="D9"/>
      </w:rPr>
    </w:pPr>
  </w:p>
  <w:p w14:paraId="1E6D96E7" w14:textId="77777777" w:rsidR="006D3BE8" w:rsidRDefault="006D3BE8" w:rsidP="006D642A">
    <w:pPr>
      <w:pStyle w:val="Kopfzeile"/>
      <w:rPr>
        <w:b/>
        <w:bCs/>
        <w:color w:val="D9D9D9" w:themeColor="background1" w:themeShade="D9"/>
      </w:rPr>
    </w:pPr>
  </w:p>
  <w:p w14:paraId="378B4252" w14:textId="77652510" w:rsidR="006D3BE8" w:rsidRDefault="006D3BE8" w:rsidP="006D642A">
    <w:pPr>
      <w:pStyle w:val="Kopfzeile"/>
      <w:rPr>
        <w:b/>
        <w:bCs/>
        <w:color w:val="D9D9D9" w:themeColor="background1" w:themeShade="D9"/>
      </w:rPr>
    </w:pPr>
  </w:p>
  <w:p w14:paraId="5764485A" w14:textId="77777777" w:rsidR="006D3BE8" w:rsidRDefault="006D3BE8" w:rsidP="006D642A">
    <w:pPr>
      <w:pStyle w:val="Kopfzeile"/>
      <w:rPr>
        <w:b/>
        <w:bCs/>
        <w:color w:val="D9D9D9" w:themeColor="background1" w:themeShade="D9"/>
      </w:rPr>
    </w:pPr>
  </w:p>
  <w:p w14:paraId="76B6783E" w14:textId="6EBE4955" w:rsidR="006D642A" w:rsidRDefault="006D642A" w:rsidP="006D642A">
    <w:pPr>
      <w:pStyle w:val="Kopfzeile"/>
      <w:rPr>
        <w:b/>
        <w:bCs/>
        <w:color w:val="D9D9D9" w:themeColor="background1" w:themeShade="D9"/>
      </w:rPr>
    </w:pPr>
  </w:p>
  <w:p w14:paraId="0B1B3583" w14:textId="77777777" w:rsidR="00533B6D" w:rsidRDefault="00533B6D" w:rsidP="006D642A">
    <w:pPr>
      <w:pStyle w:val="Kopfzeile"/>
      <w:rPr>
        <w:b/>
        <w:bCs/>
        <w:color w:val="D9D9D9" w:themeColor="background1" w:themeShade="D9"/>
      </w:rPr>
    </w:pPr>
  </w:p>
  <w:p w14:paraId="1C9C13D5" w14:textId="77777777" w:rsidR="00533B6D" w:rsidRDefault="00533B6D" w:rsidP="006D642A">
    <w:pPr>
      <w:pStyle w:val="Kopfzeile"/>
      <w:rPr>
        <w:b/>
        <w:bCs/>
        <w:color w:val="D9D9D9" w:themeColor="background1" w:themeShade="D9"/>
      </w:rPr>
    </w:pPr>
  </w:p>
  <w:p w14:paraId="21A8EB9E" w14:textId="77777777" w:rsidR="00533B6D" w:rsidRPr="007657EF" w:rsidRDefault="00533B6D" w:rsidP="006D642A">
    <w:pPr>
      <w:pStyle w:val="Kopfzeile"/>
      <w:rPr>
        <w:b/>
        <w:bCs/>
        <w:color w:val="D9D9D9" w:themeColor="background1" w:themeShade="D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50BD"/>
    <w:rsid w:val="00010B99"/>
    <w:rsid w:val="000251A8"/>
    <w:rsid w:val="000350B9"/>
    <w:rsid w:val="00084814"/>
    <w:rsid w:val="00090ECC"/>
    <w:rsid w:val="00091A66"/>
    <w:rsid w:val="000A2525"/>
    <w:rsid w:val="000A56B4"/>
    <w:rsid w:val="000C122D"/>
    <w:rsid w:val="000C35C8"/>
    <w:rsid w:val="000C3FB6"/>
    <w:rsid w:val="000D2B26"/>
    <w:rsid w:val="000E1A66"/>
    <w:rsid w:val="000E7261"/>
    <w:rsid w:val="001026E2"/>
    <w:rsid w:val="00114BFE"/>
    <w:rsid w:val="00116BDF"/>
    <w:rsid w:val="001250A1"/>
    <w:rsid w:val="0014101E"/>
    <w:rsid w:val="0014136E"/>
    <w:rsid w:val="001476ED"/>
    <w:rsid w:val="001770D6"/>
    <w:rsid w:val="0018221B"/>
    <w:rsid w:val="00186D75"/>
    <w:rsid w:val="001A3078"/>
    <w:rsid w:val="001C048A"/>
    <w:rsid w:val="001C05B9"/>
    <w:rsid w:val="001C5CB0"/>
    <w:rsid w:val="001D15D8"/>
    <w:rsid w:val="001D3113"/>
    <w:rsid w:val="001E207F"/>
    <w:rsid w:val="001F75DA"/>
    <w:rsid w:val="002174E4"/>
    <w:rsid w:val="00233985"/>
    <w:rsid w:val="00241C30"/>
    <w:rsid w:val="00261269"/>
    <w:rsid w:val="00266640"/>
    <w:rsid w:val="002A1A99"/>
    <w:rsid w:val="002A44BA"/>
    <w:rsid w:val="002C79BF"/>
    <w:rsid w:val="00303EC7"/>
    <w:rsid w:val="00307C99"/>
    <w:rsid w:val="00324F29"/>
    <w:rsid w:val="0032776E"/>
    <w:rsid w:val="00331A2F"/>
    <w:rsid w:val="00332CAA"/>
    <w:rsid w:val="003556D7"/>
    <w:rsid w:val="0036180D"/>
    <w:rsid w:val="00361A44"/>
    <w:rsid w:val="00363EBC"/>
    <w:rsid w:val="0037296A"/>
    <w:rsid w:val="003750DC"/>
    <w:rsid w:val="003752D1"/>
    <w:rsid w:val="00375C02"/>
    <w:rsid w:val="003975ED"/>
    <w:rsid w:val="003D3047"/>
    <w:rsid w:val="003E5F03"/>
    <w:rsid w:val="004349F9"/>
    <w:rsid w:val="00441306"/>
    <w:rsid w:val="0044201A"/>
    <w:rsid w:val="00445756"/>
    <w:rsid w:val="00451664"/>
    <w:rsid w:val="004516BC"/>
    <w:rsid w:val="0045778C"/>
    <w:rsid w:val="00462619"/>
    <w:rsid w:val="00463C9A"/>
    <w:rsid w:val="00467692"/>
    <w:rsid w:val="00477534"/>
    <w:rsid w:val="004825D1"/>
    <w:rsid w:val="004A2A03"/>
    <w:rsid w:val="004B5BE2"/>
    <w:rsid w:val="004C1390"/>
    <w:rsid w:val="004E3E59"/>
    <w:rsid w:val="004E77AA"/>
    <w:rsid w:val="004F004A"/>
    <w:rsid w:val="004F6925"/>
    <w:rsid w:val="00515464"/>
    <w:rsid w:val="00525B76"/>
    <w:rsid w:val="005260F1"/>
    <w:rsid w:val="00533B6D"/>
    <w:rsid w:val="0056330A"/>
    <w:rsid w:val="005776F9"/>
    <w:rsid w:val="00596C9E"/>
    <w:rsid w:val="005A3BBA"/>
    <w:rsid w:val="005B6631"/>
    <w:rsid w:val="005C4630"/>
    <w:rsid w:val="005C5DE8"/>
    <w:rsid w:val="005E1F30"/>
    <w:rsid w:val="005E2992"/>
    <w:rsid w:val="006014F4"/>
    <w:rsid w:val="006056BA"/>
    <w:rsid w:val="0061422C"/>
    <w:rsid w:val="0061501B"/>
    <w:rsid w:val="00617865"/>
    <w:rsid w:val="00622046"/>
    <w:rsid w:val="00624747"/>
    <w:rsid w:val="0064126C"/>
    <w:rsid w:val="00646151"/>
    <w:rsid w:val="00647374"/>
    <w:rsid w:val="006717DF"/>
    <w:rsid w:val="00672979"/>
    <w:rsid w:val="00674DB3"/>
    <w:rsid w:val="00675A1A"/>
    <w:rsid w:val="00697E65"/>
    <w:rsid w:val="006D3BE8"/>
    <w:rsid w:val="006D642A"/>
    <w:rsid w:val="006F6CDD"/>
    <w:rsid w:val="00716541"/>
    <w:rsid w:val="0072671C"/>
    <w:rsid w:val="00730090"/>
    <w:rsid w:val="00734C79"/>
    <w:rsid w:val="00756938"/>
    <w:rsid w:val="00756E20"/>
    <w:rsid w:val="0076410E"/>
    <w:rsid w:val="007657EF"/>
    <w:rsid w:val="00766F56"/>
    <w:rsid w:val="007845E5"/>
    <w:rsid w:val="00795593"/>
    <w:rsid w:val="007B63B3"/>
    <w:rsid w:val="007C650C"/>
    <w:rsid w:val="007C78B0"/>
    <w:rsid w:val="007D2FB5"/>
    <w:rsid w:val="007F5149"/>
    <w:rsid w:val="007F64B6"/>
    <w:rsid w:val="0080029F"/>
    <w:rsid w:val="00811A6D"/>
    <w:rsid w:val="00817396"/>
    <w:rsid w:val="0082708A"/>
    <w:rsid w:val="00834BE5"/>
    <w:rsid w:val="008417BD"/>
    <w:rsid w:val="008452A1"/>
    <w:rsid w:val="00845D9D"/>
    <w:rsid w:val="00850595"/>
    <w:rsid w:val="008660E4"/>
    <w:rsid w:val="008815FC"/>
    <w:rsid w:val="00883C90"/>
    <w:rsid w:val="00894C0A"/>
    <w:rsid w:val="008B0CF3"/>
    <w:rsid w:val="008B4576"/>
    <w:rsid w:val="008B6151"/>
    <w:rsid w:val="008E262A"/>
    <w:rsid w:val="008E5F50"/>
    <w:rsid w:val="008E77B0"/>
    <w:rsid w:val="008F2C47"/>
    <w:rsid w:val="008F68BF"/>
    <w:rsid w:val="00900A37"/>
    <w:rsid w:val="009016B8"/>
    <w:rsid w:val="009125CF"/>
    <w:rsid w:val="009178E2"/>
    <w:rsid w:val="0092532F"/>
    <w:rsid w:val="00940A54"/>
    <w:rsid w:val="0094164A"/>
    <w:rsid w:val="0094417F"/>
    <w:rsid w:val="0094543F"/>
    <w:rsid w:val="00951E13"/>
    <w:rsid w:val="0095328A"/>
    <w:rsid w:val="00967697"/>
    <w:rsid w:val="00972AF2"/>
    <w:rsid w:val="009842C6"/>
    <w:rsid w:val="00984DD1"/>
    <w:rsid w:val="00990192"/>
    <w:rsid w:val="009952B9"/>
    <w:rsid w:val="009A6D7C"/>
    <w:rsid w:val="009D0B03"/>
    <w:rsid w:val="009E1F20"/>
    <w:rsid w:val="009E241E"/>
    <w:rsid w:val="009E5DBE"/>
    <w:rsid w:val="009F53D9"/>
    <w:rsid w:val="00A11428"/>
    <w:rsid w:val="00A1410F"/>
    <w:rsid w:val="00A16C6D"/>
    <w:rsid w:val="00A23A84"/>
    <w:rsid w:val="00A30321"/>
    <w:rsid w:val="00A30E1A"/>
    <w:rsid w:val="00A4031F"/>
    <w:rsid w:val="00A450D0"/>
    <w:rsid w:val="00A46491"/>
    <w:rsid w:val="00A46C4D"/>
    <w:rsid w:val="00A501B8"/>
    <w:rsid w:val="00A60AA5"/>
    <w:rsid w:val="00A653A0"/>
    <w:rsid w:val="00A66ECE"/>
    <w:rsid w:val="00A86E4F"/>
    <w:rsid w:val="00AA5800"/>
    <w:rsid w:val="00AC2C5F"/>
    <w:rsid w:val="00AC5E82"/>
    <w:rsid w:val="00AD7B13"/>
    <w:rsid w:val="00AE14D7"/>
    <w:rsid w:val="00AE5EF1"/>
    <w:rsid w:val="00B01DCE"/>
    <w:rsid w:val="00B27363"/>
    <w:rsid w:val="00B322E2"/>
    <w:rsid w:val="00B364A2"/>
    <w:rsid w:val="00B4750B"/>
    <w:rsid w:val="00B72770"/>
    <w:rsid w:val="00B86FEC"/>
    <w:rsid w:val="00BD4B3B"/>
    <w:rsid w:val="00BE3217"/>
    <w:rsid w:val="00BE78E0"/>
    <w:rsid w:val="00BF149F"/>
    <w:rsid w:val="00C10125"/>
    <w:rsid w:val="00C10BFD"/>
    <w:rsid w:val="00C14329"/>
    <w:rsid w:val="00C1458B"/>
    <w:rsid w:val="00C22D23"/>
    <w:rsid w:val="00C321B4"/>
    <w:rsid w:val="00C50BD4"/>
    <w:rsid w:val="00C52FCD"/>
    <w:rsid w:val="00C53C96"/>
    <w:rsid w:val="00C70EC8"/>
    <w:rsid w:val="00C827E4"/>
    <w:rsid w:val="00C93579"/>
    <w:rsid w:val="00C9445B"/>
    <w:rsid w:val="00C94D2F"/>
    <w:rsid w:val="00C97686"/>
    <w:rsid w:val="00CA6FDC"/>
    <w:rsid w:val="00CB183E"/>
    <w:rsid w:val="00CB204B"/>
    <w:rsid w:val="00CD3808"/>
    <w:rsid w:val="00D05410"/>
    <w:rsid w:val="00D23800"/>
    <w:rsid w:val="00D24958"/>
    <w:rsid w:val="00D42A99"/>
    <w:rsid w:val="00D629F2"/>
    <w:rsid w:val="00D63B53"/>
    <w:rsid w:val="00D752E7"/>
    <w:rsid w:val="00D774CE"/>
    <w:rsid w:val="00D84EF6"/>
    <w:rsid w:val="00DA078D"/>
    <w:rsid w:val="00DA0E04"/>
    <w:rsid w:val="00DB46CE"/>
    <w:rsid w:val="00DC2BCB"/>
    <w:rsid w:val="00DD75F4"/>
    <w:rsid w:val="00DF1BDE"/>
    <w:rsid w:val="00DF49E3"/>
    <w:rsid w:val="00DF5C6B"/>
    <w:rsid w:val="00E043D3"/>
    <w:rsid w:val="00E22C1F"/>
    <w:rsid w:val="00E272A5"/>
    <w:rsid w:val="00E27D56"/>
    <w:rsid w:val="00E37228"/>
    <w:rsid w:val="00E615D5"/>
    <w:rsid w:val="00E742BE"/>
    <w:rsid w:val="00E824B1"/>
    <w:rsid w:val="00E82679"/>
    <w:rsid w:val="00E82AD7"/>
    <w:rsid w:val="00E84210"/>
    <w:rsid w:val="00EC0F2B"/>
    <w:rsid w:val="00F14059"/>
    <w:rsid w:val="00F21EF5"/>
    <w:rsid w:val="00F301F9"/>
    <w:rsid w:val="00F43B70"/>
    <w:rsid w:val="00F47FAF"/>
    <w:rsid w:val="00F6522D"/>
    <w:rsid w:val="00F70E8C"/>
    <w:rsid w:val="00F7248C"/>
    <w:rsid w:val="00F76E58"/>
    <w:rsid w:val="00F90447"/>
    <w:rsid w:val="00F971EF"/>
    <w:rsid w:val="00FA4874"/>
    <w:rsid w:val="00FA4DFC"/>
    <w:rsid w:val="00FB41C8"/>
    <w:rsid w:val="00FB49B5"/>
    <w:rsid w:val="00FC0ABC"/>
    <w:rsid w:val="00FC1080"/>
    <w:rsid w:val="00FC55B2"/>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330A"/>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basedOn w:val="Absatz-Standardschriftart"/>
    <w:uiPriority w:val="99"/>
    <w:unhideWhenUsed/>
    <w:rsid w:val="003E5F03"/>
    <w:rPr>
      <w:color w:val="467886" w:themeColor="hyperlink"/>
      <w:u w:val="single"/>
    </w:rPr>
  </w:style>
  <w:style w:type="character" w:styleId="NichtaufgelsteErwhnung">
    <w:name w:val="Unresolved Mention"/>
    <w:basedOn w:val="Absatz-Standardschriftart"/>
    <w:uiPriority w:val="99"/>
    <w:semiHidden/>
    <w:unhideWhenUsed/>
    <w:rsid w:val="003E5F03"/>
    <w:rPr>
      <w:color w:val="605E5C"/>
      <w:shd w:val="clear" w:color="auto" w:fill="E1DFDD"/>
    </w:rPr>
  </w:style>
  <w:style w:type="paragraph" w:styleId="berarbeitung">
    <w:name w:val="Revision"/>
    <w:hidden/>
    <w:uiPriority w:val="99"/>
    <w:semiHidden/>
    <w:rsid w:val="00624747"/>
    <w:pPr>
      <w:spacing w:after="0" w:line="240" w:lineRule="auto"/>
    </w:pPr>
  </w:style>
  <w:style w:type="character" w:styleId="Kommentarzeichen">
    <w:name w:val="annotation reference"/>
    <w:basedOn w:val="Absatz-Standardschriftart"/>
    <w:uiPriority w:val="99"/>
    <w:semiHidden/>
    <w:unhideWhenUsed/>
    <w:rsid w:val="00090ECC"/>
    <w:rPr>
      <w:sz w:val="16"/>
      <w:szCs w:val="16"/>
    </w:rPr>
  </w:style>
  <w:style w:type="paragraph" w:styleId="Kommentartext">
    <w:name w:val="annotation text"/>
    <w:basedOn w:val="Standard"/>
    <w:link w:val="KommentartextZchn"/>
    <w:uiPriority w:val="99"/>
    <w:unhideWhenUsed/>
    <w:rsid w:val="00090ECC"/>
    <w:pPr>
      <w:spacing w:line="240" w:lineRule="auto"/>
    </w:pPr>
    <w:rPr>
      <w:sz w:val="20"/>
      <w:szCs w:val="20"/>
    </w:rPr>
  </w:style>
  <w:style w:type="character" w:customStyle="1" w:styleId="KommentartextZchn">
    <w:name w:val="Kommentartext Zchn"/>
    <w:basedOn w:val="Absatz-Standardschriftart"/>
    <w:link w:val="Kommentartext"/>
    <w:uiPriority w:val="99"/>
    <w:rsid w:val="00090ECC"/>
    <w:rPr>
      <w:sz w:val="20"/>
      <w:szCs w:val="20"/>
    </w:rPr>
  </w:style>
  <w:style w:type="paragraph" w:styleId="Kommentarthema">
    <w:name w:val="annotation subject"/>
    <w:basedOn w:val="Kommentartext"/>
    <w:next w:val="Kommentartext"/>
    <w:link w:val="KommentarthemaZchn"/>
    <w:uiPriority w:val="99"/>
    <w:semiHidden/>
    <w:unhideWhenUsed/>
    <w:rsid w:val="00090ECC"/>
    <w:rPr>
      <w:b/>
      <w:bCs/>
    </w:rPr>
  </w:style>
  <w:style w:type="character" w:customStyle="1" w:styleId="KommentarthemaZchn">
    <w:name w:val="Kommentarthema Zchn"/>
    <w:basedOn w:val="KommentartextZchn"/>
    <w:link w:val="Kommentarthema"/>
    <w:uiPriority w:val="99"/>
    <w:semiHidden/>
    <w:rsid w:val="00090ECC"/>
    <w:rPr>
      <w:b/>
      <w:bCs/>
      <w:sz w:val="20"/>
      <w:szCs w:val="20"/>
    </w:rPr>
  </w:style>
  <w:style w:type="character" w:styleId="BesuchterLink">
    <w:name w:val="FollowedHyperlink"/>
    <w:basedOn w:val="Absatz-Standardschriftart"/>
    <w:uiPriority w:val="99"/>
    <w:semiHidden/>
    <w:unhideWhenUsed/>
    <w:rsid w:val="00B364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1770">
      <w:bodyDiv w:val="1"/>
      <w:marLeft w:val="0"/>
      <w:marRight w:val="0"/>
      <w:marTop w:val="0"/>
      <w:marBottom w:val="0"/>
      <w:divBdr>
        <w:top w:val="none" w:sz="0" w:space="0" w:color="auto"/>
        <w:left w:val="none" w:sz="0" w:space="0" w:color="auto"/>
        <w:bottom w:val="none" w:sz="0" w:space="0" w:color="auto"/>
        <w:right w:val="none" w:sz="0" w:space="0" w:color="auto"/>
      </w:divBdr>
    </w:div>
    <w:div w:id="477766528">
      <w:bodyDiv w:val="1"/>
      <w:marLeft w:val="0"/>
      <w:marRight w:val="0"/>
      <w:marTop w:val="0"/>
      <w:marBottom w:val="0"/>
      <w:divBdr>
        <w:top w:val="none" w:sz="0" w:space="0" w:color="auto"/>
        <w:left w:val="none" w:sz="0" w:space="0" w:color="auto"/>
        <w:bottom w:val="none" w:sz="0" w:space="0" w:color="auto"/>
        <w:right w:val="none" w:sz="0" w:space="0" w:color="auto"/>
      </w:divBdr>
    </w:div>
    <w:div w:id="570584241">
      <w:bodyDiv w:val="1"/>
      <w:marLeft w:val="0"/>
      <w:marRight w:val="0"/>
      <w:marTop w:val="0"/>
      <w:marBottom w:val="0"/>
      <w:divBdr>
        <w:top w:val="none" w:sz="0" w:space="0" w:color="auto"/>
        <w:left w:val="none" w:sz="0" w:space="0" w:color="auto"/>
        <w:bottom w:val="none" w:sz="0" w:space="0" w:color="auto"/>
        <w:right w:val="none" w:sz="0" w:space="0" w:color="auto"/>
      </w:divBdr>
    </w:div>
    <w:div w:id="805009533">
      <w:bodyDiv w:val="1"/>
      <w:marLeft w:val="0"/>
      <w:marRight w:val="0"/>
      <w:marTop w:val="0"/>
      <w:marBottom w:val="0"/>
      <w:divBdr>
        <w:top w:val="none" w:sz="0" w:space="0" w:color="auto"/>
        <w:left w:val="none" w:sz="0" w:space="0" w:color="auto"/>
        <w:bottom w:val="none" w:sz="0" w:space="0" w:color="auto"/>
        <w:right w:val="none" w:sz="0" w:space="0" w:color="auto"/>
      </w:divBdr>
    </w:div>
    <w:div w:id="872116806">
      <w:bodyDiv w:val="1"/>
      <w:marLeft w:val="0"/>
      <w:marRight w:val="0"/>
      <w:marTop w:val="0"/>
      <w:marBottom w:val="0"/>
      <w:divBdr>
        <w:top w:val="none" w:sz="0" w:space="0" w:color="auto"/>
        <w:left w:val="none" w:sz="0" w:space="0" w:color="auto"/>
        <w:bottom w:val="none" w:sz="0" w:space="0" w:color="auto"/>
        <w:right w:val="none" w:sz="0" w:space="0" w:color="auto"/>
      </w:divBdr>
    </w:div>
    <w:div w:id="982999609">
      <w:bodyDiv w:val="1"/>
      <w:marLeft w:val="0"/>
      <w:marRight w:val="0"/>
      <w:marTop w:val="0"/>
      <w:marBottom w:val="0"/>
      <w:divBdr>
        <w:top w:val="none" w:sz="0" w:space="0" w:color="auto"/>
        <w:left w:val="none" w:sz="0" w:space="0" w:color="auto"/>
        <w:bottom w:val="none" w:sz="0" w:space="0" w:color="auto"/>
        <w:right w:val="none" w:sz="0" w:space="0" w:color="auto"/>
      </w:divBdr>
    </w:div>
    <w:div w:id="1071464188">
      <w:bodyDiv w:val="1"/>
      <w:marLeft w:val="0"/>
      <w:marRight w:val="0"/>
      <w:marTop w:val="0"/>
      <w:marBottom w:val="0"/>
      <w:divBdr>
        <w:top w:val="none" w:sz="0" w:space="0" w:color="auto"/>
        <w:left w:val="none" w:sz="0" w:space="0" w:color="auto"/>
        <w:bottom w:val="none" w:sz="0" w:space="0" w:color="auto"/>
        <w:right w:val="none" w:sz="0" w:space="0" w:color="auto"/>
      </w:divBdr>
    </w:div>
    <w:div w:id="19809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btex.com/en-gb/company/news-pres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hubtex.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4859d35863c5b3a2c5e28b548a257c07">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d9f709c57646a99dc98b1100d0e0cb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Props1.xml><?xml version="1.0" encoding="utf-8"?>
<ds:datastoreItem xmlns:ds="http://schemas.openxmlformats.org/officeDocument/2006/customXml" ds:itemID="{B61C935D-50FE-4002-BA5C-0B73F725191B}">
  <ds:schemaRefs>
    <ds:schemaRef ds:uri="http://schemas.microsoft.com/sharepoint/v3/contenttype/forms"/>
  </ds:schemaRefs>
</ds:datastoreItem>
</file>

<file path=customXml/itemProps2.xml><?xml version="1.0" encoding="utf-8"?>
<ds:datastoreItem xmlns:ds="http://schemas.openxmlformats.org/officeDocument/2006/customXml" ds:itemID="{808A6EEB-8D76-4114-9BB3-97B2AE44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41C1F-48EA-4047-81D4-8B336A90DF3E}">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Möller, Marlen</cp:lastModifiedBy>
  <cp:revision>12</cp:revision>
  <dcterms:created xsi:type="dcterms:W3CDTF">2025-12-10T08:51:00Z</dcterms:created>
  <dcterms:modified xsi:type="dcterms:W3CDTF">2026-01-13T10:31:00Z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e04bf6356b07dcab18ab5c28c58645340a89b0400a46a488b58e4d16f6c871da</vt:lpwstr>
  </property>
</Properties>
</file>